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2551"/>
        <w:gridCol w:w="3402"/>
        <w:gridCol w:w="4678"/>
        <w:gridCol w:w="1278"/>
      </w:tblGrid>
      <w:tr w:rsidR="00441328" w:rsidTr="00AE7C85">
        <w:tc>
          <w:tcPr>
            <w:tcW w:w="2235" w:type="dxa"/>
            <w:vAlign w:val="center"/>
          </w:tcPr>
          <w:p w:rsidR="00441328" w:rsidRDefault="00441328" w:rsidP="00E065E1">
            <w:pPr>
              <w:jc w:val="center"/>
            </w:pPr>
            <w:r>
              <w:t>Compétence</w:t>
            </w:r>
          </w:p>
        </w:tc>
        <w:tc>
          <w:tcPr>
            <w:tcW w:w="2551" w:type="dxa"/>
            <w:vAlign w:val="center"/>
          </w:tcPr>
          <w:p w:rsidR="00441328" w:rsidRDefault="00441328" w:rsidP="00E065E1">
            <w:pPr>
              <w:jc w:val="center"/>
            </w:pPr>
            <w:r>
              <w:t>Activité</w:t>
            </w:r>
          </w:p>
          <w:p w:rsidR="00441328" w:rsidRDefault="00441328" w:rsidP="00E065E1">
            <w:pPr>
              <w:jc w:val="center"/>
            </w:pPr>
            <w:r>
              <w:t>professionnelle</w:t>
            </w:r>
          </w:p>
        </w:tc>
        <w:tc>
          <w:tcPr>
            <w:tcW w:w="3402" w:type="dxa"/>
            <w:vAlign w:val="center"/>
          </w:tcPr>
          <w:p w:rsidR="00441328" w:rsidRDefault="00441328" w:rsidP="00E065E1">
            <w:pPr>
              <w:jc w:val="center"/>
            </w:pPr>
            <w:r>
              <w:t>Contenu</w:t>
            </w:r>
          </w:p>
        </w:tc>
        <w:tc>
          <w:tcPr>
            <w:tcW w:w="4678" w:type="dxa"/>
            <w:vAlign w:val="center"/>
          </w:tcPr>
          <w:p w:rsidR="00441328" w:rsidRDefault="00441328" w:rsidP="00E065E1">
            <w:pPr>
              <w:ind w:left="318" w:hanging="318"/>
              <w:jc w:val="center"/>
            </w:pPr>
            <w:r>
              <w:t>Limite des connaissances</w:t>
            </w:r>
          </w:p>
        </w:tc>
        <w:tc>
          <w:tcPr>
            <w:tcW w:w="1278" w:type="dxa"/>
            <w:vAlign w:val="center"/>
          </w:tcPr>
          <w:p w:rsidR="00441328" w:rsidRDefault="00441328" w:rsidP="00E065E1">
            <w:pPr>
              <w:ind w:left="318" w:hanging="318"/>
              <w:jc w:val="center"/>
            </w:pPr>
            <w:r>
              <w:t>Semaine</w:t>
            </w:r>
          </w:p>
        </w:tc>
      </w:tr>
      <w:tr w:rsidR="00441328" w:rsidTr="00AE7C85">
        <w:tc>
          <w:tcPr>
            <w:tcW w:w="2235" w:type="dxa"/>
          </w:tcPr>
          <w:p w:rsidR="00441328" w:rsidRDefault="00692180">
            <w:r>
              <w:t xml:space="preserve"> Animer une équipe</w:t>
            </w:r>
          </w:p>
        </w:tc>
        <w:tc>
          <w:tcPr>
            <w:tcW w:w="2551" w:type="dxa"/>
          </w:tcPr>
          <w:p w:rsidR="00441328" w:rsidRDefault="00B31600" w:rsidP="00B31600">
            <w:r>
              <w:t>Gestion d</w:t>
            </w:r>
            <w:r w:rsidR="00692180" w:rsidRPr="00692180">
              <w:t>es aléas de fonctionnement liés au personnel</w:t>
            </w:r>
          </w:p>
        </w:tc>
        <w:tc>
          <w:tcPr>
            <w:tcW w:w="3402" w:type="dxa"/>
          </w:tcPr>
          <w:p w:rsidR="00441328" w:rsidRDefault="00692180" w:rsidP="00692180">
            <w:r>
              <w:t>Les outils et les  démarches pour gérer les aléas de fonctionnement liés au personnel</w:t>
            </w:r>
          </w:p>
        </w:tc>
        <w:tc>
          <w:tcPr>
            <w:tcW w:w="4678" w:type="dxa"/>
          </w:tcPr>
          <w:p w:rsidR="00441328" w:rsidRDefault="00F256A4" w:rsidP="00692180">
            <w:r w:rsidRPr="00F256A4">
              <w:t>Les outils et les  démarches pour gérer les aléas de fonctionnement liés au personnel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1</w:t>
            </w:r>
          </w:p>
        </w:tc>
      </w:tr>
      <w:tr w:rsidR="00441328" w:rsidTr="00AE7C85">
        <w:tc>
          <w:tcPr>
            <w:tcW w:w="2235" w:type="dxa"/>
          </w:tcPr>
          <w:p w:rsidR="00441328" w:rsidRDefault="00692180" w:rsidP="00692180">
            <w:r>
              <w:t>Prendre en charge la clientèle</w:t>
            </w:r>
          </w:p>
        </w:tc>
        <w:tc>
          <w:tcPr>
            <w:tcW w:w="2551" w:type="dxa"/>
          </w:tcPr>
          <w:p w:rsidR="00441328" w:rsidRDefault="00B31600">
            <w:r>
              <w:t>P</w:t>
            </w:r>
            <w:r w:rsidR="00680A11">
              <w:t>résentation du support de vente</w:t>
            </w:r>
          </w:p>
        </w:tc>
        <w:tc>
          <w:tcPr>
            <w:tcW w:w="3402" w:type="dxa"/>
          </w:tcPr>
          <w:p w:rsidR="00441328" w:rsidRDefault="00680A11">
            <w:r w:rsidRPr="00680A11">
              <w:t>La législation : rédaction, affichage intérieur et extérieur,…</w:t>
            </w:r>
          </w:p>
        </w:tc>
        <w:tc>
          <w:tcPr>
            <w:tcW w:w="4678" w:type="dxa"/>
          </w:tcPr>
          <w:p w:rsidR="00441328" w:rsidRDefault="00F256A4" w:rsidP="00F256A4">
            <w:r>
              <w:t>Le respect de la législation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2</w:t>
            </w:r>
          </w:p>
        </w:tc>
      </w:tr>
      <w:tr w:rsidR="00441328" w:rsidTr="00AE7C85">
        <w:tc>
          <w:tcPr>
            <w:tcW w:w="2235" w:type="dxa"/>
          </w:tcPr>
          <w:p w:rsidR="00441328" w:rsidRDefault="00680A11">
            <w:r>
              <w:t>Recenser les besoins d’approvisionnement</w:t>
            </w:r>
          </w:p>
        </w:tc>
        <w:tc>
          <w:tcPr>
            <w:tcW w:w="2551" w:type="dxa"/>
          </w:tcPr>
          <w:p w:rsidR="00441328" w:rsidRDefault="00B31600">
            <w:r>
              <w:t>Participation</w:t>
            </w:r>
            <w:r w:rsidR="00680A11" w:rsidRPr="00680A11">
              <w:t xml:space="preserve"> à l’élaboration d’un cahier des charges (qualité et prix des produits)</w:t>
            </w:r>
          </w:p>
        </w:tc>
        <w:tc>
          <w:tcPr>
            <w:tcW w:w="3402" w:type="dxa"/>
          </w:tcPr>
          <w:p w:rsidR="00441328" w:rsidRDefault="00680A11">
            <w:r>
              <w:t>Les spécificités des produits</w:t>
            </w:r>
          </w:p>
        </w:tc>
        <w:tc>
          <w:tcPr>
            <w:tcW w:w="4678" w:type="dxa"/>
          </w:tcPr>
          <w:p w:rsidR="00441328" w:rsidRDefault="00680A11">
            <w:r w:rsidRPr="00680A11">
              <w:t>Le respect des exigences relatives à un produit ou à une famille de produits (variété, qualité, certification, origine, calibre, période de besoin, quantité, températures, fréquence d’approvisionnement, prix, conditionnement,….)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3</w:t>
            </w:r>
          </w:p>
        </w:tc>
      </w:tr>
      <w:tr w:rsidR="006F10D5" w:rsidTr="006F10D5">
        <w:tc>
          <w:tcPr>
            <w:tcW w:w="2235" w:type="dxa"/>
            <w:vMerge w:val="restart"/>
            <w:vAlign w:val="center"/>
          </w:tcPr>
          <w:p w:rsidR="006F10D5" w:rsidRDefault="006F10D5" w:rsidP="00680A11">
            <w:pPr>
              <w:jc w:val="center"/>
            </w:pPr>
            <w:r>
              <w:t>Vendre des prestations</w:t>
            </w:r>
          </w:p>
        </w:tc>
        <w:tc>
          <w:tcPr>
            <w:tcW w:w="2551" w:type="dxa"/>
            <w:vMerge w:val="restart"/>
            <w:vAlign w:val="center"/>
          </w:tcPr>
          <w:p w:rsidR="006F10D5" w:rsidRDefault="00B31600" w:rsidP="00B31600">
            <w:r>
              <w:t>V</w:t>
            </w:r>
            <w:r w:rsidR="006F10D5">
              <w:t>alorisation des produits</w:t>
            </w:r>
          </w:p>
        </w:tc>
        <w:tc>
          <w:tcPr>
            <w:tcW w:w="3402" w:type="dxa"/>
            <w:vMerge w:val="restart"/>
            <w:vAlign w:val="center"/>
          </w:tcPr>
          <w:p w:rsidR="006F10D5" w:rsidRDefault="006F10D5" w:rsidP="006F10D5">
            <w:r>
              <w:t>La connaissance des produits européens</w:t>
            </w:r>
          </w:p>
          <w:p w:rsidR="006F10D5" w:rsidRDefault="006F10D5" w:rsidP="006F10D5"/>
          <w:p w:rsidR="006F10D5" w:rsidRDefault="006F10D5" w:rsidP="006F10D5"/>
        </w:tc>
        <w:tc>
          <w:tcPr>
            <w:tcW w:w="4678" w:type="dxa"/>
            <w:vMerge w:val="restart"/>
            <w:vAlign w:val="center"/>
          </w:tcPr>
          <w:p w:rsidR="006F10D5" w:rsidRDefault="006F10D5" w:rsidP="006F10D5">
            <w:r>
              <w:t>Les grands produits marqueurs de l’Europe géographique</w:t>
            </w:r>
          </w:p>
          <w:p w:rsidR="006F10D5" w:rsidRDefault="006F10D5" w:rsidP="006F10D5">
            <w:r>
              <w:t>Leur appellation, leurs spécificités</w:t>
            </w:r>
          </w:p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4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5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6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7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8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9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10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11</w:t>
            </w:r>
          </w:p>
        </w:tc>
      </w:tr>
      <w:tr w:rsidR="006F10D5" w:rsidTr="006F10D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 w:val="restart"/>
          </w:tcPr>
          <w:p w:rsidR="006F10D5" w:rsidRDefault="006F10D5">
            <w:r>
              <w:t>La connaissance des produits mondiaux</w:t>
            </w:r>
          </w:p>
        </w:tc>
        <w:tc>
          <w:tcPr>
            <w:tcW w:w="4678" w:type="dxa"/>
            <w:vMerge w:val="restart"/>
            <w:vAlign w:val="center"/>
          </w:tcPr>
          <w:p w:rsidR="006F10D5" w:rsidRDefault="006F10D5" w:rsidP="006F10D5">
            <w:r>
              <w:t>Les produits les plus représentatifs</w:t>
            </w:r>
          </w:p>
          <w:p w:rsidR="006F10D5" w:rsidRDefault="006F10D5" w:rsidP="006F10D5">
            <w:r>
              <w:t>Leur appellation, leurs spécificités</w:t>
            </w:r>
          </w:p>
          <w:p w:rsidR="00F71B63" w:rsidRDefault="00F71B63" w:rsidP="006F10D5"/>
          <w:p w:rsidR="00F71B63" w:rsidRDefault="00F71B63" w:rsidP="006F10D5"/>
          <w:p w:rsidR="00F71B63" w:rsidRDefault="00F71B63" w:rsidP="006F10D5"/>
          <w:p w:rsidR="00F71B63" w:rsidRDefault="00F71B63" w:rsidP="006F10D5"/>
          <w:p w:rsidR="00F71B63" w:rsidRDefault="00F71B63" w:rsidP="006F10D5"/>
          <w:p w:rsidR="00F71B63" w:rsidRDefault="00F71B63" w:rsidP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12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13</w:t>
            </w:r>
          </w:p>
        </w:tc>
      </w:tr>
      <w:tr w:rsidR="006F10D5" w:rsidTr="00AE7C85">
        <w:tc>
          <w:tcPr>
            <w:tcW w:w="2235" w:type="dxa"/>
            <w:vMerge/>
          </w:tcPr>
          <w:p w:rsidR="006F10D5" w:rsidRDefault="006F10D5"/>
        </w:tc>
        <w:tc>
          <w:tcPr>
            <w:tcW w:w="2551" w:type="dxa"/>
            <w:vMerge/>
          </w:tcPr>
          <w:p w:rsidR="006F10D5" w:rsidRDefault="006F10D5"/>
        </w:tc>
        <w:tc>
          <w:tcPr>
            <w:tcW w:w="3402" w:type="dxa"/>
            <w:vMerge/>
          </w:tcPr>
          <w:p w:rsidR="006F10D5" w:rsidRDefault="006F10D5"/>
        </w:tc>
        <w:tc>
          <w:tcPr>
            <w:tcW w:w="4678" w:type="dxa"/>
            <w:vMerge/>
          </w:tcPr>
          <w:p w:rsidR="006F10D5" w:rsidRDefault="006F10D5"/>
        </w:tc>
        <w:tc>
          <w:tcPr>
            <w:tcW w:w="1278" w:type="dxa"/>
            <w:vAlign w:val="center"/>
          </w:tcPr>
          <w:p w:rsidR="006F10D5" w:rsidRDefault="006F10D5" w:rsidP="00AE7C85">
            <w:pPr>
              <w:jc w:val="center"/>
            </w:pPr>
            <w:r>
              <w:t>14</w:t>
            </w:r>
          </w:p>
        </w:tc>
      </w:tr>
      <w:tr w:rsidR="00481713" w:rsidTr="00F256A4">
        <w:trPr>
          <w:trHeight w:val="1185"/>
        </w:trPr>
        <w:tc>
          <w:tcPr>
            <w:tcW w:w="2235" w:type="dxa"/>
            <w:vMerge w:val="restart"/>
          </w:tcPr>
          <w:p w:rsidR="00481713" w:rsidRDefault="00481713">
            <w:r>
              <w:lastRenderedPageBreak/>
              <w:t>Appliquer la démarche qualité en restauration</w:t>
            </w:r>
          </w:p>
        </w:tc>
        <w:tc>
          <w:tcPr>
            <w:tcW w:w="2551" w:type="dxa"/>
          </w:tcPr>
          <w:p w:rsidR="00481713" w:rsidRDefault="00B31600" w:rsidP="00B31600">
            <w:r>
              <w:t>Respect d</w:t>
            </w:r>
            <w:r w:rsidR="00481713" w:rsidRPr="00F71B63">
              <w:t xml:space="preserve">es dispositions réglementaires, </w:t>
            </w:r>
            <w:r>
              <w:t>d</w:t>
            </w:r>
            <w:r w:rsidR="00481713" w:rsidRPr="00F71B63">
              <w:t>es règles d’hygiène, de santé et de sécurité</w:t>
            </w:r>
          </w:p>
        </w:tc>
        <w:tc>
          <w:tcPr>
            <w:tcW w:w="3402" w:type="dxa"/>
          </w:tcPr>
          <w:p w:rsidR="00481713" w:rsidRDefault="00F256A4" w:rsidP="00F71B63">
            <w:r w:rsidRPr="00F256A4">
              <w:t>L’opérationnalisation des procédures</w:t>
            </w:r>
          </w:p>
        </w:tc>
        <w:tc>
          <w:tcPr>
            <w:tcW w:w="4678" w:type="dxa"/>
          </w:tcPr>
          <w:p w:rsidR="00481713" w:rsidRDefault="00F256A4" w:rsidP="00F71B63">
            <w:r w:rsidRPr="00F256A4">
              <w:t xml:space="preserve">La personnalisation des procédures </w:t>
            </w:r>
            <w:r w:rsidRPr="00F256A4">
              <w:tab/>
            </w:r>
          </w:p>
        </w:tc>
        <w:tc>
          <w:tcPr>
            <w:tcW w:w="1278" w:type="dxa"/>
            <w:vAlign w:val="center"/>
          </w:tcPr>
          <w:p w:rsidR="00481713" w:rsidRDefault="00481713" w:rsidP="00AE7C85">
            <w:pPr>
              <w:jc w:val="center"/>
            </w:pPr>
            <w:r>
              <w:t>15</w:t>
            </w:r>
          </w:p>
        </w:tc>
      </w:tr>
      <w:tr w:rsidR="00481713" w:rsidTr="00AE7C85">
        <w:tc>
          <w:tcPr>
            <w:tcW w:w="2235" w:type="dxa"/>
            <w:vMerge/>
          </w:tcPr>
          <w:p w:rsidR="00481713" w:rsidRDefault="00481713"/>
        </w:tc>
        <w:tc>
          <w:tcPr>
            <w:tcW w:w="2551" w:type="dxa"/>
          </w:tcPr>
          <w:p w:rsidR="00481713" w:rsidRDefault="00B31600">
            <w:r>
              <w:t>Contrôle de</w:t>
            </w:r>
            <w:r w:rsidR="00481713" w:rsidRPr="00F71B63">
              <w:t xml:space="preserve"> la qualité sanitaire des matières premières et des productions</w:t>
            </w:r>
          </w:p>
        </w:tc>
        <w:tc>
          <w:tcPr>
            <w:tcW w:w="3402" w:type="dxa"/>
          </w:tcPr>
          <w:p w:rsidR="00481713" w:rsidRDefault="00481713" w:rsidP="00F71B63">
            <w:r>
              <w:t xml:space="preserve">La qualité globale </w:t>
            </w:r>
          </w:p>
          <w:p w:rsidR="00481713" w:rsidRDefault="00481713" w:rsidP="00F71B63"/>
          <w:p w:rsidR="00481713" w:rsidRDefault="00481713" w:rsidP="00F71B63"/>
          <w:p w:rsidR="00F256A4" w:rsidRDefault="00F256A4" w:rsidP="00F71B63"/>
          <w:p w:rsidR="00F256A4" w:rsidRDefault="00F256A4" w:rsidP="00F71B63"/>
          <w:p w:rsidR="00F256A4" w:rsidRDefault="00F256A4" w:rsidP="00F71B63"/>
          <w:p w:rsidR="00F256A4" w:rsidRDefault="00F256A4" w:rsidP="00F71B63"/>
          <w:p w:rsidR="00F256A4" w:rsidRDefault="00F256A4" w:rsidP="00F71B63"/>
          <w:p w:rsidR="00481713" w:rsidRDefault="00481713" w:rsidP="00F71B63"/>
          <w:p w:rsidR="00481713" w:rsidRDefault="00481713" w:rsidP="00F71B63"/>
          <w:p w:rsidR="00481713" w:rsidRDefault="00481713" w:rsidP="00F71B63">
            <w:r>
              <w:t>Les contrôles et autocontrôles</w:t>
            </w:r>
          </w:p>
        </w:tc>
        <w:tc>
          <w:tcPr>
            <w:tcW w:w="4678" w:type="dxa"/>
          </w:tcPr>
          <w:p w:rsidR="00F256A4" w:rsidRDefault="00F256A4" w:rsidP="00F256A4">
            <w:r>
              <w:t xml:space="preserve">Les caractéristiques de la qualité globale et les démarches mises en œuvre </w:t>
            </w:r>
          </w:p>
          <w:p w:rsidR="00F256A4" w:rsidRDefault="00F256A4" w:rsidP="00F256A4">
            <w:r>
              <w:t>Les composantes de la qualité : qualité sanitaire, marchande, organoleptique</w:t>
            </w:r>
          </w:p>
          <w:p w:rsidR="00F256A4" w:rsidRDefault="00F256A4" w:rsidP="00F256A4">
            <w:r>
              <w:t>Les phases de l’analyse sensorielle, l’analyse comparative</w:t>
            </w:r>
          </w:p>
          <w:p w:rsidR="00F256A4" w:rsidRDefault="00F256A4" w:rsidP="00F256A4">
            <w:r>
              <w:t>Les certifications (International System Organisation, Haute Qualité Environnementale,…)</w:t>
            </w:r>
          </w:p>
          <w:p w:rsidR="00F256A4" w:rsidRDefault="00F256A4" w:rsidP="00F256A4"/>
          <w:p w:rsidR="00481713" w:rsidRDefault="00F256A4" w:rsidP="00F256A4">
            <w:r>
              <w:t>Les méthodes et procédures dans le cadre des contrôles et autocontrôles</w:t>
            </w:r>
          </w:p>
        </w:tc>
        <w:tc>
          <w:tcPr>
            <w:tcW w:w="1278" w:type="dxa"/>
            <w:vAlign w:val="center"/>
          </w:tcPr>
          <w:p w:rsidR="00481713" w:rsidRDefault="00481713" w:rsidP="00AE7C85">
            <w:pPr>
              <w:jc w:val="center"/>
            </w:pPr>
            <w:r>
              <w:t>16</w:t>
            </w:r>
          </w:p>
        </w:tc>
      </w:tr>
      <w:tr w:rsidR="00481713" w:rsidTr="00AE7C85">
        <w:tc>
          <w:tcPr>
            <w:tcW w:w="2235" w:type="dxa"/>
            <w:vMerge/>
          </w:tcPr>
          <w:p w:rsidR="00481713" w:rsidRDefault="00481713"/>
        </w:tc>
        <w:tc>
          <w:tcPr>
            <w:tcW w:w="2551" w:type="dxa"/>
          </w:tcPr>
          <w:p w:rsidR="00481713" w:rsidRDefault="00B31600" w:rsidP="00B31600">
            <w:r>
              <w:t>Intégration d</w:t>
            </w:r>
            <w:r w:rsidR="00481713" w:rsidRPr="009A2B71">
              <w:t>es dimensions liées à l’environnement et au développement durable dans sa pratique professionnelle</w:t>
            </w:r>
          </w:p>
        </w:tc>
        <w:tc>
          <w:tcPr>
            <w:tcW w:w="3402" w:type="dxa"/>
          </w:tcPr>
          <w:p w:rsidR="00481713" w:rsidRDefault="00481713">
            <w:r w:rsidRPr="009A2B71">
              <w:t>Les pratiques professionnelles respectueuses de l’environnement</w:t>
            </w:r>
          </w:p>
        </w:tc>
        <w:tc>
          <w:tcPr>
            <w:tcW w:w="4678" w:type="dxa"/>
          </w:tcPr>
          <w:p w:rsidR="00F256A4" w:rsidRDefault="00F256A4" w:rsidP="00F256A4">
            <w:r>
              <w:t xml:space="preserve">Les outils et démarches </w:t>
            </w:r>
          </w:p>
          <w:p w:rsidR="00F256A4" w:rsidRDefault="00F256A4" w:rsidP="00F256A4">
            <w:r>
              <w:t>-</w:t>
            </w:r>
            <w:r>
              <w:tab/>
              <w:t>dans le choix des matières premières (certifications, saisonnalité – proximité)</w:t>
            </w:r>
          </w:p>
          <w:p w:rsidR="00481713" w:rsidRDefault="00F256A4" w:rsidP="00F256A4">
            <w:r>
              <w:t>Les points de vigilance</w:t>
            </w:r>
          </w:p>
        </w:tc>
        <w:tc>
          <w:tcPr>
            <w:tcW w:w="1278" w:type="dxa"/>
            <w:vAlign w:val="center"/>
          </w:tcPr>
          <w:p w:rsidR="00481713" w:rsidRDefault="00481713" w:rsidP="00AE7C85">
            <w:pPr>
              <w:jc w:val="center"/>
            </w:pPr>
            <w:r>
              <w:t>17</w:t>
            </w:r>
          </w:p>
        </w:tc>
      </w:tr>
      <w:tr w:rsidR="00441328" w:rsidTr="00AE7C85">
        <w:tc>
          <w:tcPr>
            <w:tcW w:w="2235" w:type="dxa"/>
          </w:tcPr>
          <w:p w:rsidR="00441328" w:rsidRDefault="00481713">
            <w:r>
              <w:t>Vendre des prestations</w:t>
            </w:r>
          </w:p>
        </w:tc>
        <w:tc>
          <w:tcPr>
            <w:tcW w:w="2551" w:type="dxa"/>
          </w:tcPr>
          <w:p w:rsidR="00441328" w:rsidRDefault="00B31600">
            <w:r>
              <w:t>V</w:t>
            </w:r>
            <w:r w:rsidR="00481713">
              <w:t>alorisation de l’espace</w:t>
            </w:r>
          </w:p>
        </w:tc>
        <w:tc>
          <w:tcPr>
            <w:tcW w:w="3402" w:type="dxa"/>
          </w:tcPr>
          <w:p w:rsidR="00481713" w:rsidRDefault="00481713" w:rsidP="00481713">
            <w:r>
              <w:t>Les facteurs d’ambiance</w:t>
            </w:r>
          </w:p>
          <w:p w:rsidR="00481713" w:rsidRDefault="00481713" w:rsidP="00481713"/>
          <w:p w:rsidR="00481713" w:rsidRDefault="00481713" w:rsidP="00481713"/>
          <w:p w:rsidR="00441328" w:rsidRDefault="00481713" w:rsidP="00481713">
            <w:r>
              <w:t>Les espaces</w:t>
            </w:r>
          </w:p>
        </w:tc>
        <w:tc>
          <w:tcPr>
            <w:tcW w:w="4678" w:type="dxa"/>
          </w:tcPr>
          <w:p w:rsidR="00481713" w:rsidRDefault="00481713" w:rsidP="00481713">
            <w:r>
              <w:t>L’animation : les costumes, la sonorisation, la décoration</w:t>
            </w:r>
          </w:p>
          <w:p w:rsidR="00481713" w:rsidRDefault="00481713" w:rsidP="00481713">
            <w:r>
              <w:t>L’adéquation entre l’animation et le thème</w:t>
            </w:r>
          </w:p>
          <w:p w:rsidR="00481713" w:rsidRDefault="00481713" w:rsidP="00481713">
            <w:r>
              <w:t>L’utilisation de l’espace</w:t>
            </w:r>
          </w:p>
          <w:p w:rsidR="00481713" w:rsidRDefault="00481713" w:rsidP="00481713">
            <w:r>
              <w:t>Le plan de salle, l’implantation du projet</w:t>
            </w:r>
          </w:p>
          <w:p w:rsidR="00441328" w:rsidRDefault="00481713" w:rsidP="00481713">
            <w:r>
              <w:t>L’adéquation entre l’espace et le positionnement du projet (allées de service, consignes de sécurité, circuits de distribution,…)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18</w:t>
            </w:r>
          </w:p>
        </w:tc>
      </w:tr>
      <w:tr w:rsidR="00441328" w:rsidTr="00AE7C85">
        <w:tc>
          <w:tcPr>
            <w:tcW w:w="2235" w:type="dxa"/>
          </w:tcPr>
          <w:p w:rsidR="00441328" w:rsidRDefault="00481713">
            <w:r>
              <w:t>Entretenir des relations professionnelles</w:t>
            </w:r>
          </w:p>
        </w:tc>
        <w:tc>
          <w:tcPr>
            <w:tcW w:w="2551" w:type="dxa"/>
          </w:tcPr>
          <w:p w:rsidR="00481713" w:rsidRDefault="00B31600" w:rsidP="00481713">
            <w:r>
              <w:t>Communication</w:t>
            </w:r>
            <w:r w:rsidR="00481713">
              <w:t xml:space="preserve"> avant le service  avec les personnels (cuisine, bar, cave, réception, …) </w:t>
            </w:r>
          </w:p>
          <w:p w:rsidR="00441328" w:rsidRDefault="00B31600" w:rsidP="00B31600">
            <w:r>
              <w:t>proposition d’ une argumentation, promotion d</w:t>
            </w:r>
            <w:r w:rsidR="00481713">
              <w:t>es produits et les plats</w:t>
            </w:r>
          </w:p>
        </w:tc>
        <w:tc>
          <w:tcPr>
            <w:tcW w:w="3402" w:type="dxa"/>
          </w:tcPr>
          <w:p w:rsidR="00481713" w:rsidRDefault="00481713" w:rsidP="00481713">
            <w:r>
              <w:t>La fiche de fonction</w:t>
            </w:r>
          </w:p>
          <w:p w:rsidR="00481713" w:rsidRDefault="00481713" w:rsidP="00481713">
            <w:r>
              <w:t>La fiche de poste</w:t>
            </w:r>
          </w:p>
          <w:p w:rsidR="00481713" w:rsidRDefault="00481713" w:rsidP="00481713"/>
          <w:p w:rsidR="00481713" w:rsidRDefault="00481713" w:rsidP="00481713"/>
          <w:p w:rsidR="00441328" w:rsidRDefault="00481713" w:rsidP="00481713">
            <w:r>
              <w:t>Le vocabulaire professionnel</w:t>
            </w:r>
          </w:p>
        </w:tc>
        <w:tc>
          <w:tcPr>
            <w:tcW w:w="4678" w:type="dxa"/>
          </w:tcPr>
          <w:p w:rsidR="00481713" w:rsidRDefault="00F256A4" w:rsidP="00481713">
            <w:r>
              <w:t>La</w:t>
            </w:r>
            <w:r w:rsidR="00481713">
              <w:t xml:space="preserve"> transcription des informations techniques en argumentaire commercial</w:t>
            </w:r>
          </w:p>
          <w:p w:rsidR="00481713" w:rsidRDefault="00481713" w:rsidP="00481713"/>
          <w:p w:rsidR="00441328" w:rsidRDefault="00481713" w:rsidP="00481713">
            <w:r>
              <w:t>L’utilisation du vocabulaire professionnel</w:t>
            </w:r>
            <w:r w:rsidR="00F256A4">
              <w:t xml:space="preserve"> entre les services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19</w:t>
            </w:r>
          </w:p>
        </w:tc>
      </w:tr>
      <w:tr w:rsidR="00441328" w:rsidTr="00AE7C85">
        <w:tc>
          <w:tcPr>
            <w:tcW w:w="2235" w:type="dxa"/>
          </w:tcPr>
          <w:p w:rsidR="00441328" w:rsidRDefault="00335242">
            <w:r>
              <w:t>Servir des mets et des boissons</w:t>
            </w:r>
          </w:p>
        </w:tc>
        <w:tc>
          <w:tcPr>
            <w:tcW w:w="2551" w:type="dxa"/>
          </w:tcPr>
          <w:p w:rsidR="00441328" w:rsidRDefault="00B31600">
            <w:r>
              <w:t>S</w:t>
            </w:r>
            <w:r w:rsidR="00335242">
              <w:t>ervice des boissons</w:t>
            </w:r>
          </w:p>
        </w:tc>
        <w:tc>
          <w:tcPr>
            <w:tcW w:w="3402" w:type="dxa"/>
          </w:tcPr>
          <w:p w:rsidR="00441328" w:rsidRDefault="00335242">
            <w:r w:rsidRPr="00335242">
              <w:t>La législation</w:t>
            </w:r>
          </w:p>
        </w:tc>
        <w:tc>
          <w:tcPr>
            <w:tcW w:w="4678" w:type="dxa"/>
          </w:tcPr>
          <w:p w:rsidR="00441328" w:rsidRDefault="00335242">
            <w:r w:rsidRPr="00335242">
              <w:t>La règlementation : licences, affichages obligatoires</w:t>
            </w:r>
          </w:p>
        </w:tc>
        <w:tc>
          <w:tcPr>
            <w:tcW w:w="1278" w:type="dxa"/>
            <w:vAlign w:val="center"/>
          </w:tcPr>
          <w:p w:rsidR="00441328" w:rsidRDefault="00AE7C85" w:rsidP="00AE7C85">
            <w:pPr>
              <w:jc w:val="center"/>
            </w:pPr>
            <w:r>
              <w:t>20</w:t>
            </w:r>
          </w:p>
        </w:tc>
      </w:tr>
      <w:tr w:rsidR="00335242" w:rsidTr="00335242">
        <w:tc>
          <w:tcPr>
            <w:tcW w:w="1286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35242" w:rsidRDefault="00335242" w:rsidP="00335242">
            <w:pPr>
              <w:jc w:val="center"/>
            </w:pPr>
            <w:r>
              <w:t>Marge de travail</w:t>
            </w:r>
          </w:p>
        </w:tc>
        <w:tc>
          <w:tcPr>
            <w:tcW w:w="1278" w:type="dxa"/>
            <w:vAlign w:val="center"/>
          </w:tcPr>
          <w:p w:rsidR="00335242" w:rsidRDefault="00335242" w:rsidP="00AE7C85">
            <w:pPr>
              <w:jc w:val="center"/>
            </w:pPr>
            <w:r>
              <w:t>21</w:t>
            </w:r>
          </w:p>
        </w:tc>
      </w:tr>
      <w:tr w:rsidR="00335242" w:rsidTr="00335242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335242" w:rsidRDefault="00335242"/>
        </w:tc>
        <w:tc>
          <w:tcPr>
            <w:tcW w:w="1278" w:type="dxa"/>
            <w:vAlign w:val="center"/>
          </w:tcPr>
          <w:p w:rsidR="00335242" w:rsidRDefault="00335242" w:rsidP="00AE7C85">
            <w:pPr>
              <w:jc w:val="center"/>
            </w:pPr>
            <w:r>
              <w:t>22</w:t>
            </w:r>
          </w:p>
        </w:tc>
      </w:tr>
      <w:tr w:rsidR="00335242" w:rsidTr="00335242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335242" w:rsidRDefault="00335242"/>
        </w:tc>
        <w:tc>
          <w:tcPr>
            <w:tcW w:w="1278" w:type="dxa"/>
            <w:vAlign w:val="center"/>
          </w:tcPr>
          <w:p w:rsidR="00335242" w:rsidRDefault="00335242" w:rsidP="00AE7C85">
            <w:pPr>
              <w:jc w:val="center"/>
            </w:pPr>
            <w:r>
              <w:t>23</w:t>
            </w:r>
          </w:p>
        </w:tc>
      </w:tr>
      <w:tr w:rsidR="00335242" w:rsidTr="00335242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335242" w:rsidRDefault="00335242"/>
        </w:tc>
        <w:tc>
          <w:tcPr>
            <w:tcW w:w="1278" w:type="dxa"/>
            <w:vAlign w:val="center"/>
          </w:tcPr>
          <w:p w:rsidR="00335242" w:rsidRDefault="00335242" w:rsidP="00AE7C85">
            <w:pPr>
              <w:jc w:val="center"/>
            </w:pPr>
            <w:r>
              <w:t>24</w:t>
            </w:r>
          </w:p>
        </w:tc>
      </w:tr>
      <w:tr w:rsidR="00335242" w:rsidTr="00335242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335242" w:rsidRDefault="00335242"/>
        </w:tc>
        <w:tc>
          <w:tcPr>
            <w:tcW w:w="1278" w:type="dxa"/>
            <w:vAlign w:val="center"/>
          </w:tcPr>
          <w:p w:rsidR="00335242" w:rsidRDefault="00335242" w:rsidP="00AE7C85">
            <w:pPr>
              <w:jc w:val="center"/>
            </w:pPr>
            <w:r>
              <w:t>25</w:t>
            </w:r>
          </w:p>
        </w:tc>
      </w:tr>
    </w:tbl>
    <w:p w:rsidR="00EB001D" w:rsidRDefault="00EB001D"/>
    <w:sectPr w:rsidR="00EB001D" w:rsidSect="00F71B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8B" w:rsidRDefault="00A62F8B" w:rsidP="00372F02">
      <w:pPr>
        <w:spacing w:after="0" w:line="240" w:lineRule="auto"/>
      </w:pPr>
      <w:r>
        <w:separator/>
      </w:r>
    </w:p>
  </w:endnote>
  <w:endnote w:type="continuationSeparator" w:id="0">
    <w:p w:rsidR="00A62F8B" w:rsidRDefault="00A62F8B" w:rsidP="0037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91" w:rsidRDefault="00C72C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567813"/>
      <w:docPartObj>
        <w:docPartGallery w:val="Page Numbers (Bottom of Page)"/>
        <w:docPartUnique/>
      </w:docPartObj>
    </w:sdtPr>
    <w:sdtEndPr/>
    <w:sdtContent>
      <w:p w:rsidR="00FD17E3" w:rsidRDefault="00FD17E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F8B">
          <w:rPr>
            <w:noProof/>
          </w:rPr>
          <w:t>1</w:t>
        </w:r>
        <w:r>
          <w:fldChar w:fldCharType="end"/>
        </w:r>
      </w:p>
    </w:sdtContent>
  </w:sdt>
  <w:p w:rsidR="00FD17E3" w:rsidRDefault="00FD17E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91" w:rsidRDefault="00C72C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8B" w:rsidRDefault="00A62F8B" w:rsidP="00372F02">
      <w:pPr>
        <w:spacing w:after="0" w:line="240" w:lineRule="auto"/>
      </w:pPr>
      <w:r>
        <w:separator/>
      </w:r>
    </w:p>
  </w:footnote>
  <w:footnote w:type="continuationSeparator" w:id="0">
    <w:p w:rsidR="00A62F8B" w:rsidRDefault="00A62F8B" w:rsidP="0037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91" w:rsidRDefault="00C72C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F02" w:rsidRPr="007B2DBF" w:rsidRDefault="00372F02" w:rsidP="00372F02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r w:rsidRPr="007B2DBF">
      <w:rPr>
        <w:rFonts w:asciiTheme="majorHAnsi" w:eastAsiaTheme="majorEastAsia" w:hAnsiTheme="majorHAnsi" w:cstheme="majorBidi"/>
        <w:sz w:val="28"/>
        <w:szCs w:val="28"/>
      </w:rPr>
      <w:t xml:space="preserve">Progression Technologie </w:t>
    </w:r>
    <w:r>
      <w:rPr>
        <w:rFonts w:asciiTheme="majorHAnsi" w:eastAsiaTheme="majorEastAsia" w:hAnsiTheme="majorHAnsi" w:cstheme="majorBidi"/>
        <w:sz w:val="28"/>
        <w:szCs w:val="28"/>
      </w:rPr>
      <w:t>Terminale Bac Pro</w:t>
    </w:r>
    <w:bookmarkStart w:id="0" w:name="_GoBack"/>
    <w:bookmarkEnd w:id="0"/>
  </w:p>
  <w:p w:rsidR="00372F02" w:rsidRPr="007B2DBF" w:rsidRDefault="00A62F8B" w:rsidP="00372F02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alias w:val="Titre"/>
        <w:id w:val="77738743"/>
        <w:placeholder>
          <w:docPart w:val="A4C87B013CE54A17B7F3920D3A5728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72F02">
          <w:rPr>
            <w:rFonts w:asciiTheme="majorHAnsi" w:eastAsiaTheme="majorEastAsia" w:hAnsiTheme="majorHAnsi" w:cstheme="majorBidi"/>
            <w:sz w:val="24"/>
            <w:szCs w:val="24"/>
          </w:rPr>
          <w:t xml:space="preserve">Au </w:t>
        </w:r>
        <w:r w:rsidR="00C72C91">
          <w:rPr>
            <w:rFonts w:asciiTheme="majorHAnsi" w:eastAsiaTheme="majorEastAsia" w:hAnsiTheme="majorHAnsi" w:cstheme="majorBidi"/>
            <w:sz w:val="24"/>
            <w:szCs w:val="24"/>
          </w:rPr>
          <w:t>02/11</w:t>
        </w:r>
        <w:r w:rsidR="00372F02">
          <w:rPr>
            <w:rFonts w:asciiTheme="majorHAnsi" w:eastAsiaTheme="majorEastAsia" w:hAnsiTheme="majorHAnsi" w:cstheme="majorBidi"/>
            <w:sz w:val="24"/>
            <w:szCs w:val="24"/>
          </w:rPr>
          <w:t>/10</w:t>
        </w:r>
      </w:sdtContent>
    </w:sdt>
  </w:p>
  <w:p w:rsidR="00372F02" w:rsidRDefault="00372F02" w:rsidP="00372F02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372F02" w:rsidRDefault="00372F0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91" w:rsidRDefault="00C72C9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02"/>
    <w:rsid w:val="00160BE2"/>
    <w:rsid w:val="00335242"/>
    <w:rsid w:val="00372F02"/>
    <w:rsid w:val="00441328"/>
    <w:rsid w:val="00474B90"/>
    <w:rsid w:val="00481713"/>
    <w:rsid w:val="00680A11"/>
    <w:rsid w:val="00692180"/>
    <w:rsid w:val="006F10D5"/>
    <w:rsid w:val="009A2B71"/>
    <w:rsid w:val="00A62F8B"/>
    <w:rsid w:val="00AE7C85"/>
    <w:rsid w:val="00B31600"/>
    <w:rsid w:val="00C66A5F"/>
    <w:rsid w:val="00C72C91"/>
    <w:rsid w:val="00E55648"/>
    <w:rsid w:val="00E9052F"/>
    <w:rsid w:val="00EB001D"/>
    <w:rsid w:val="00F256A4"/>
    <w:rsid w:val="00F71B63"/>
    <w:rsid w:val="00FD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7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F02"/>
  </w:style>
  <w:style w:type="paragraph" w:styleId="Pieddepage">
    <w:name w:val="footer"/>
    <w:basedOn w:val="Normal"/>
    <w:link w:val="PieddepageCar"/>
    <w:uiPriority w:val="99"/>
    <w:unhideWhenUsed/>
    <w:rsid w:val="0037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F02"/>
  </w:style>
  <w:style w:type="paragraph" w:styleId="Textedebulles">
    <w:name w:val="Balloon Text"/>
    <w:basedOn w:val="Normal"/>
    <w:link w:val="TextedebullesCar"/>
    <w:uiPriority w:val="99"/>
    <w:semiHidden/>
    <w:unhideWhenUsed/>
    <w:rsid w:val="00372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F0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41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7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F02"/>
  </w:style>
  <w:style w:type="paragraph" w:styleId="Pieddepage">
    <w:name w:val="footer"/>
    <w:basedOn w:val="Normal"/>
    <w:link w:val="PieddepageCar"/>
    <w:uiPriority w:val="99"/>
    <w:unhideWhenUsed/>
    <w:rsid w:val="0037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F02"/>
  </w:style>
  <w:style w:type="paragraph" w:styleId="Textedebulles">
    <w:name w:val="Balloon Text"/>
    <w:basedOn w:val="Normal"/>
    <w:link w:val="TextedebullesCar"/>
    <w:uiPriority w:val="99"/>
    <w:semiHidden/>
    <w:unhideWhenUsed/>
    <w:rsid w:val="00372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F0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41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C87B013CE54A17B7F3920D3A5728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6B6928-35C6-4ADD-867F-35FDC4145E87}"/>
      </w:docPartPr>
      <w:docPartBody>
        <w:p w:rsidR="00533C0E" w:rsidRDefault="003C6C6C" w:rsidP="003C6C6C">
          <w:pPr>
            <w:pStyle w:val="A4C87B013CE54A17B7F3920D3A5728D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6C"/>
    <w:rsid w:val="00172121"/>
    <w:rsid w:val="002C2380"/>
    <w:rsid w:val="003C6C6C"/>
    <w:rsid w:val="004206F1"/>
    <w:rsid w:val="00533C0E"/>
    <w:rsid w:val="005A1CD9"/>
    <w:rsid w:val="009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4C87B013CE54A17B7F3920D3A5728DE">
    <w:name w:val="A4C87B013CE54A17B7F3920D3A5728DE"/>
    <w:rsid w:val="003C6C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4C87B013CE54A17B7F3920D3A5728DE">
    <w:name w:val="A4C87B013CE54A17B7F3920D3A5728DE"/>
    <w:rsid w:val="003C6C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 31/10/10</vt:lpstr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creator>Utilisateur</dc:creator>
  <cp:lastModifiedBy>Utilisateur</cp:lastModifiedBy>
  <cp:revision>11</cp:revision>
  <dcterms:created xsi:type="dcterms:W3CDTF">2010-11-01T19:13:00Z</dcterms:created>
  <dcterms:modified xsi:type="dcterms:W3CDTF">2010-11-02T14:30:00Z</dcterms:modified>
</cp:coreProperties>
</file>