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716" w:rsidRDefault="00E93C24" w:rsidP="00BC2716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color w:val="31849B" w:themeColor="accent5" w:themeShade="BF"/>
          <w:sz w:val="28"/>
          <w:szCs w:val="28"/>
        </w:rPr>
      </w:pPr>
      <w:r w:rsidRPr="00BC2716">
        <w:rPr>
          <w:rFonts w:cs="Arial"/>
          <w:b/>
          <w:bCs/>
          <w:color w:val="31849B" w:themeColor="accent5" w:themeShade="BF"/>
          <w:sz w:val="28"/>
          <w:szCs w:val="28"/>
        </w:rPr>
        <w:t>La réglementation concernant l’étiquetage</w:t>
      </w:r>
      <w:r w:rsidR="00BC2716">
        <w:rPr>
          <w:rFonts w:cs="Arial"/>
          <w:b/>
          <w:bCs/>
          <w:color w:val="31849B" w:themeColor="accent5" w:themeShade="BF"/>
          <w:sz w:val="28"/>
          <w:szCs w:val="28"/>
        </w:rPr>
        <w:t xml:space="preserve"> sur les denrées alimentaires,</w:t>
      </w:r>
    </w:p>
    <w:p w:rsidR="00E93C24" w:rsidRPr="00BC2716" w:rsidRDefault="001708E6" w:rsidP="00BC2716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Cs/>
          <w:color w:val="31849B" w:themeColor="accent5" w:themeShade="BF"/>
          <w:sz w:val="20"/>
          <w:szCs w:val="28"/>
          <w:lang w:eastAsia="fr-FR"/>
        </w:rPr>
      </w:pPr>
      <w:proofErr w:type="gramStart"/>
      <w:r w:rsidRPr="00BC2716">
        <w:rPr>
          <w:rFonts w:cs="Arial"/>
          <w:b/>
          <w:bCs/>
          <w:color w:val="31849B" w:themeColor="accent5" w:themeShade="BF"/>
          <w:sz w:val="28"/>
          <w:szCs w:val="28"/>
        </w:rPr>
        <w:t>avec</w:t>
      </w:r>
      <w:proofErr w:type="gramEnd"/>
      <w:r w:rsidRPr="00BC2716">
        <w:rPr>
          <w:rFonts w:cs="Arial"/>
          <w:b/>
          <w:bCs/>
          <w:color w:val="31849B" w:themeColor="accent5" w:themeShade="BF"/>
          <w:sz w:val="28"/>
          <w:szCs w:val="28"/>
        </w:rPr>
        <w:t xml:space="preserve"> focus sur l'appertisé et l'actualité</w:t>
      </w:r>
      <w:r w:rsidR="00433102" w:rsidRPr="00BC2716">
        <w:rPr>
          <w:rFonts w:cs="Arial"/>
          <w:b/>
          <w:bCs/>
          <w:color w:val="31849B" w:themeColor="accent5" w:themeShade="BF"/>
          <w:sz w:val="28"/>
          <w:szCs w:val="28"/>
        </w:rPr>
        <w:br/>
      </w:r>
      <w:r w:rsidR="00433102" w:rsidRPr="00BC2716">
        <w:rPr>
          <w:rFonts w:eastAsiaTheme="minorEastAsia" w:cs="Arial"/>
          <w:bCs/>
          <w:color w:val="31849B" w:themeColor="accent5" w:themeShade="BF"/>
          <w:sz w:val="20"/>
          <w:szCs w:val="28"/>
          <w:lang w:eastAsia="fr-FR"/>
        </w:rPr>
        <w:t>Sources : DAUCY</w:t>
      </w:r>
    </w:p>
    <w:p w:rsidR="00E93C24" w:rsidRDefault="00E93C24" w:rsidP="00E93C2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E93C24" w:rsidRDefault="00E93C24" w:rsidP="00E93C2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E93C24" w:rsidRDefault="00E93C24" w:rsidP="00E93C2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E93C24" w:rsidRPr="00E93C24" w:rsidRDefault="00E93C24" w:rsidP="00E93C2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93C24">
        <w:rPr>
          <w:rFonts w:cs="Arial"/>
        </w:rPr>
        <w:t>Le règlement européen concernant l'information des consommateurs sur les denrées alimentaires</w:t>
      </w:r>
    </w:p>
    <w:p w:rsidR="00E93C24" w:rsidRPr="00E93C24" w:rsidRDefault="00E93C24" w:rsidP="00E93C2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93C24">
        <w:rPr>
          <w:rFonts w:cs="Arial"/>
        </w:rPr>
        <w:t>(Surnommé</w:t>
      </w:r>
      <w:r>
        <w:rPr>
          <w:rFonts w:cs="Arial"/>
        </w:rPr>
        <w:t xml:space="preserve"> INCO) </w:t>
      </w:r>
      <w:r w:rsidRPr="00E93C24">
        <w:rPr>
          <w:rFonts w:cs="Arial"/>
          <w:b/>
        </w:rPr>
        <w:t>entre en vigueur le 13 décembre 2014</w:t>
      </w:r>
      <w:r w:rsidRPr="00E93C24">
        <w:rPr>
          <w:rFonts w:cs="Arial"/>
        </w:rPr>
        <w:t>. Ce texte, paru fin 2011, régit les règles de</w:t>
      </w:r>
      <w:r>
        <w:rPr>
          <w:rFonts w:cs="Arial"/>
        </w:rPr>
        <w:t xml:space="preserve"> </w:t>
      </w:r>
      <w:r w:rsidRPr="00E93C24">
        <w:rPr>
          <w:rFonts w:cs="Arial"/>
        </w:rPr>
        <w:t>l'ensemble des denrées alimentaires fournies aux consommateurs finaux et aux collectivités dans</w:t>
      </w:r>
      <w:r>
        <w:rPr>
          <w:rFonts w:cs="Arial"/>
        </w:rPr>
        <w:t xml:space="preserve"> </w:t>
      </w:r>
      <w:r w:rsidRPr="00E93C24">
        <w:rPr>
          <w:rFonts w:cs="Arial"/>
        </w:rPr>
        <w:t>l'ensemble des pays de l'Union Européenne pour les emballages, les étiquettes, les sites Internet, les</w:t>
      </w:r>
      <w:r>
        <w:rPr>
          <w:rFonts w:cs="Arial"/>
        </w:rPr>
        <w:t xml:space="preserve"> </w:t>
      </w:r>
      <w:r w:rsidRPr="00E93C24">
        <w:rPr>
          <w:rFonts w:cs="Arial"/>
        </w:rPr>
        <w:t>plaquettes commerciales.</w:t>
      </w:r>
    </w:p>
    <w:p w:rsidR="00E93C24" w:rsidRDefault="00E93C24" w:rsidP="00E93C2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E93C24" w:rsidRDefault="00E93C24" w:rsidP="00E93C2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93C24">
        <w:rPr>
          <w:rFonts w:cs="Arial"/>
        </w:rPr>
        <w:t>La réglementation concernant l’étiquetage n'est pas récente, de nombreux textes ont précédé ce</w:t>
      </w:r>
      <w:r>
        <w:rPr>
          <w:rFonts w:cs="Arial"/>
        </w:rPr>
        <w:t xml:space="preserve"> </w:t>
      </w:r>
      <w:r w:rsidRPr="00E93C24">
        <w:rPr>
          <w:rFonts w:cs="Arial"/>
        </w:rPr>
        <w:t>règlement. Cependant, le règlement INCO apporte de nouvelles exigences qu'il faut désormais prendre</w:t>
      </w:r>
      <w:r>
        <w:rPr>
          <w:rFonts w:cs="Arial"/>
        </w:rPr>
        <w:t xml:space="preserve"> </w:t>
      </w:r>
      <w:r w:rsidRPr="00E93C24">
        <w:rPr>
          <w:rFonts w:cs="Arial"/>
        </w:rPr>
        <w:t xml:space="preserve">en compte, ce qui génère de nombreuses modifications sur </w:t>
      </w:r>
      <w:r>
        <w:rPr>
          <w:rFonts w:cs="Arial"/>
        </w:rPr>
        <w:t>les</w:t>
      </w:r>
      <w:r w:rsidRPr="00E93C24">
        <w:rPr>
          <w:rFonts w:cs="Arial"/>
        </w:rPr>
        <w:t xml:space="preserve"> supports d'information des</w:t>
      </w:r>
      <w:r>
        <w:rPr>
          <w:rFonts w:cs="Arial"/>
        </w:rPr>
        <w:t xml:space="preserve"> </w:t>
      </w:r>
      <w:r w:rsidRPr="00E93C24">
        <w:rPr>
          <w:rFonts w:cs="Arial"/>
        </w:rPr>
        <w:t xml:space="preserve">consommateurs. On retiendra notamment </w:t>
      </w:r>
      <w:proofErr w:type="gramStart"/>
      <w:r w:rsidRPr="00E93C24">
        <w:rPr>
          <w:rFonts w:cs="Arial"/>
        </w:rPr>
        <w:t>:</w:t>
      </w:r>
      <w:proofErr w:type="gramEnd"/>
      <w:r>
        <w:rPr>
          <w:rFonts w:cs="Arial"/>
        </w:rPr>
        <w:br/>
      </w:r>
      <w:r w:rsidRPr="00E93C24">
        <w:rPr>
          <w:rFonts w:cs="Arial"/>
        </w:rPr>
        <w:t>•La définition des responsabilités des exploitants du secteur alimentaire en matière d'information</w:t>
      </w:r>
      <w:r>
        <w:rPr>
          <w:rFonts w:cs="Arial"/>
        </w:rPr>
        <w:t xml:space="preserve"> des consommateurs.</w:t>
      </w:r>
      <w:r>
        <w:rPr>
          <w:rFonts w:cs="Arial"/>
        </w:rPr>
        <w:br/>
      </w:r>
      <w:r w:rsidRPr="00E93C24">
        <w:rPr>
          <w:rFonts w:cs="Arial"/>
        </w:rPr>
        <w:t>•La mise en évidence des allergènes majeurs dans la liste d'ingré</w:t>
      </w:r>
      <w:r>
        <w:rPr>
          <w:rFonts w:cs="Arial"/>
        </w:rPr>
        <w:t>dients.</w:t>
      </w:r>
      <w:r>
        <w:rPr>
          <w:rFonts w:cs="Arial"/>
        </w:rPr>
        <w:br/>
      </w:r>
      <w:r w:rsidRPr="00E93C24">
        <w:rPr>
          <w:rFonts w:cs="Arial"/>
        </w:rPr>
        <w:t>•La définition de la taille minimale des mentions obligatoires : celle-ci</w:t>
      </w:r>
      <w:r>
        <w:rPr>
          <w:rFonts w:cs="Arial"/>
        </w:rPr>
        <w:t xml:space="preserve"> </w:t>
      </w:r>
      <w:r w:rsidRPr="00E93C24">
        <w:rPr>
          <w:rFonts w:cs="Arial"/>
        </w:rPr>
        <w:t>est lié à la taille de l'emballage</w:t>
      </w:r>
      <w:r>
        <w:rPr>
          <w:rFonts w:cs="Arial"/>
        </w:rPr>
        <w:t xml:space="preserve"> </w:t>
      </w:r>
      <w:r w:rsidRPr="00E93C24">
        <w:rPr>
          <w:rFonts w:cs="Arial"/>
        </w:rPr>
        <w:t>et non de l'étiquette (caractères de 1.2mm minimum pour les emballages de surface &gt;80cm²</w:t>
      </w:r>
      <w:r>
        <w:rPr>
          <w:rFonts w:cs="Arial"/>
        </w:rPr>
        <w:t>).</w:t>
      </w:r>
      <w:r>
        <w:rPr>
          <w:rFonts w:cs="Arial"/>
        </w:rPr>
        <w:br/>
      </w:r>
      <w:r w:rsidRPr="00E93C24">
        <w:rPr>
          <w:rFonts w:cs="Arial"/>
        </w:rPr>
        <w:t>•L’obligation, pour la grande majorité des produits, de déclaration nutritionnelle sur 7 nutriments.</w:t>
      </w:r>
    </w:p>
    <w:p w:rsidR="001708E6" w:rsidRDefault="001708E6" w:rsidP="00E93C2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E93C24" w:rsidRDefault="00E93C24" w:rsidP="00E93C2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1708E6" w:rsidRDefault="001708E6" w:rsidP="00E93C2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</w:p>
    <w:p w:rsidR="00E93C24" w:rsidRPr="00BC2716" w:rsidRDefault="00E93C24" w:rsidP="00E93C24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Cs/>
          <w:color w:val="31849B" w:themeColor="accent5" w:themeShade="BF"/>
          <w:szCs w:val="28"/>
          <w:lang w:eastAsia="fr-FR"/>
        </w:rPr>
      </w:pPr>
      <w:r w:rsidRPr="00BC2716">
        <w:rPr>
          <w:rFonts w:eastAsiaTheme="minorEastAsia" w:cs="Arial"/>
          <w:bCs/>
          <w:color w:val="31849B" w:themeColor="accent5" w:themeShade="BF"/>
          <w:szCs w:val="28"/>
          <w:lang w:eastAsia="fr-FR"/>
        </w:rPr>
        <w:t>Exemple sur les valeurs nutritionnelles</w:t>
      </w:r>
    </w:p>
    <w:p w:rsidR="00E93C24" w:rsidRDefault="00E93C24" w:rsidP="00E93C2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 w:rsidRPr="00E93C24">
        <w:rPr>
          <w:rFonts w:cs="Arial"/>
          <w:noProof/>
          <w:lang w:eastAsia="fr-FR"/>
        </w:rPr>
        <w:drawing>
          <wp:inline distT="0" distB="0" distL="0" distR="0">
            <wp:extent cx="4924425" cy="1532374"/>
            <wp:effectExtent l="19050" t="0" r="9525" b="0"/>
            <wp:docPr id="2" name="Image 1" descr="C:\Users\patpardon\Desktop\Uppia\2014\Elements de contenus Uppia\inco carous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pardon\Desktop\Uppia\2014\Elements de contenus Uppia\inco carouss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80" cy="153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E6" w:rsidRDefault="001708E6" w:rsidP="00E93C2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</w:p>
    <w:p w:rsidR="001708E6" w:rsidRDefault="001708E6" w:rsidP="00E93C2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</w:p>
    <w:p w:rsidR="00E93C24" w:rsidRPr="00BC2716" w:rsidRDefault="00E93C24" w:rsidP="00E93C24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Cs/>
          <w:color w:val="31849B" w:themeColor="accent5" w:themeShade="BF"/>
          <w:szCs w:val="28"/>
          <w:lang w:eastAsia="fr-FR"/>
        </w:rPr>
      </w:pPr>
      <w:r w:rsidRPr="00BC2716">
        <w:rPr>
          <w:rFonts w:eastAsiaTheme="minorEastAsia" w:cs="Arial"/>
          <w:bCs/>
          <w:color w:val="31849B" w:themeColor="accent5" w:themeShade="BF"/>
          <w:szCs w:val="28"/>
          <w:lang w:eastAsia="fr-FR"/>
        </w:rPr>
        <w:t>Exemple sur les ingrédients</w:t>
      </w:r>
    </w:p>
    <w:p w:rsidR="00E93C24" w:rsidRDefault="00E93C24" w:rsidP="00E93C2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eastAsia="fr-FR"/>
        </w:rPr>
        <w:drawing>
          <wp:inline distT="0" distB="0" distL="0" distR="0">
            <wp:extent cx="5760720" cy="1839021"/>
            <wp:effectExtent l="19050" t="0" r="0" b="0"/>
            <wp:docPr id="3" name="Image 2" descr="C:\Users\patpardon\Desktop\Uppia\2014\Elements de contenus Uppia\i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pardon\Desktop\Uppia\2014\Elements de contenus Uppia\in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24" w:rsidRDefault="00E93C24">
      <w:pPr>
        <w:rPr>
          <w:rFonts w:cs="Arial"/>
        </w:rPr>
      </w:pPr>
      <w:r>
        <w:rPr>
          <w:rFonts w:cs="Arial"/>
        </w:rPr>
        <w:br w:type="page"/>
      </w:r>
    </w:p>
    <w:p w:rsidR="001708E6" w:rsidRDefault="001708E6" w:rsidP="00E93C2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1708E6">
        <w:rPr>
          <w:rFonts w:cs="Arial"/>
          <w:b/>
        </w:rPr>
        <w:lastRenderedPageBreak/>
        <w:t>La réglementation concernant l’étiquetage</w:t>
      </w:r>
      <w:r>
        <w:rPr>
          <w:rFonts w:cs="Arial"/>
          <w:b/>
        </w:rPr>
        <w:t>, plan général</w:t>
      </w:r>
      <w:r>
        <w:rPr>
          <w:rFonts w:eastAsia="Times New Roman" w:cs="Times New Roman"/>
          <w:szCs w:val="24"/>
          <w:lang w:eastAsia="fr-FR"/>
        </w:rPr>
        <w:t xml:space="preserve"> </w:t>
      </w:r>
    </w:p>
    <w:p w:rsidR="001708E6" w:rsidRDefault="001708E6" w:rsidP="00E93C2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</w:p>
    <w:p w:rsidR="00E93C24" w:rsidRPr="00E93C24" w:rsidRDefault="00E93C24" w:rsidP="00E93C2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>
        <w:rPr>
          <w:rFonts w:eastAsia="Times New Roman" w:cs="Times New Roman"/>
          <w:szCs w:val="24"/>
          <w:lang w:eastAsia="fr-FR"/>
        </w:rPr>
        <w:t>Dorénavant ce règlement</w:t>
      </w:r>
      <w:r w:rsidR="001708E6">
        <w:rPr>
          <w:rFonts w:eastAsia="Times New Roman" w:cs="Times New Roman"/>
          <w:szCs w:val="24"/>
          <w:lang w:eastAsia="fr-FR"/>
        </w:rPr>
        <w:t xml:space="preserve">, dit INCO, </w:t>
      </w:r>
      <w:r w:rsidRPr="00E93C24">
        <w:rPr>
          <w:rFonts w:eastAsia="Times New Roman" w:cs="Times New Roman"/>
          <w:szCs w:val="24"/>
          <w:lang w:eastAsia="fr-FR"/>
        </w:rPr>
        <w:t xml:space="preserve">précise </w:t>
      </w:r>
      <w:r>
        <w:rPr>
          <w:rFonts w:eastAsia="Times New Roman" w:cs="Times New Roman"/>
          <w:szCs w:val="24"/>
          <w:lang w:eastAsia="fr-FR"/>
        </w:rPr>
        <w:t xml:space="preserve">les </w:t>
      </w:r>
      <w:r w:rsidRPr="00E93C24">
        <w:rPr>
          <w:rFonts w:eastAsia="Times New Roman" w:cs="Times New Roman"/>
          <w:szCs w:val="24"/>
          <w:lang w:eastAsia="fr-FR"/>
        </w:rPr>
        <w:t>12 mentions obligatoires que doit contenir l'étiquetage / emballage des denrées alimentaires destinées au consommateur final ou devant être livrées à des collectivités.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Dénomination de vente de la denrée alimentaire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Liste des ingrédients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Tout ingrédient ou auxiliaire technologique présent dans le produit fini susceptible de provoquer des intolérances ou des allergies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Quantité de certains ingrédients ou catégorie d'ingrédients</w:t>
      </w:r>
    </w:p>
    <w:p w:rsidR="00E93C24" w:rsidRPr="00E93C24" w:rsidRDefault="001708E6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>
        <w:rPr>
          <w:rFonts w:eastAsia="Times New Roman" w:cs="Times New Roman"/>
          <w:szCs w:val="24"/>
          <w:lang w:eastAsia="fr-FR"/>
        </w:rPr>
        <w:t>Quantité nette </w:t>
      </w:r>
      <w:r w:rsidR="00E93C24" w:rsidRPr="00E93C24">
        <w:rPr>
          <w:rFonts w:eastAsia="Times New Roman" w:cs="Times New Roman"/>
          <w:szCs w:val="24"/>
          <w:lang w:eastAsia="fr-FR"/>
        </w:rPr>
        <w:t>de la denrée alimentaire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Date limite de consommation ou la date de durabilité minimale, et la date de congélation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Conditions particulières de conservation et/ou d'utilisation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Nom et raison sociale et adresse du fabricant ou conditionneur ou vendeur établi à l'intérieur de l'Union Européenne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Pays d'origine ou lieu de provenance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Mode d'emploi si son absence rend difficile un usage approprié de la denrée alimentaire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Titre alcoométrique volumique acquis pour les boissons tirant à plus de 1,2% d'alcool en volume</w:t>
      </w:r>
    </w:p>
    <w:p w:rsidR="00E93C24" w:rsidRPr="00E93C24" w:rsidRDefault="00E93C24" w:rsidP="00E93C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fr-FR"/>
        </w:rPr>
      </w:pPr>
      <w:r w:rsidRPr="00E93C24">
        <w:rPr>
          <w:rFonts w:eastAsia="Times New Roman" w:cs="Times New Roman"/>
          <w:szCs w:val="24"/>
          <w:lang w:eastAsia="fr-FR"/>
        </w:rPr>
        <w:t>Déclaration nutritionnelle</w:t>
      </w:r>
    </w:p>
    <w:p w:rsidR="00E93C24" w:rsidRPr="00E93C24" w:rsidRDefault="00E93C24" w:rsidP="00E93C24">
      <w:p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</w:p>
    <w:p w:rsidR="00D57332" w:rsidRPr="00E93C24" w:rsidRDefault="00E93C24" w:rsidP="006B007F">
      <w:pPr>
        <w:autoSpaceDE w:val="0"/>
        <w:autoSpaceDN w:val="0"/>
        <w:adjustRightInd w:val="0"/>
        <w:spacing w:after="0" w:line="240" w:lineRule="auto"/>
        <w:jc w:val="center"/>
        <w:rPr>
          <w:sz w:val="20"/>
        </w:rPr>
      </w:pPr>
      <w:r w:rsidRPr="00E93C24">
        <w:rPr>
          <w:rFonts w:cs="Arial"/>
          <w:sz w:val="20"/>
        </w:rPr>
        <w:br/>
      </w:r>
      <w:r w:rsidR="006B007F" w:rsidRPr="006B007F">
        <w:rPr>
          <w:noProof/>
          <w:sz w:val="20"/>
          <w:lang w:eastAsia="fr-FR"/>
        </w:rPr>
        <w:drawing>
          <wp:inline distT="0" distB="0" distL="0" distR="0">
            <wp:extent cx="5760720" cy="2654978"/>
            <wp:effectExtent l="19050" t="0" r="0" b="0"/>
            <wp:docPr id="4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8" t="41340" r="70000" b="2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332" w:rsidRPr="00E93C24" w:rsidSect="00D573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5EF" w:rsidRDefault="00F055EF" w:rsidP="00AF51DE">
      <w:pPr>
        <w:spacing w:after="0" w:line="240" w:lineRule="auto"/>
      </w:pPr>
      <w:r>
        <w:separator/>
      </w:r>
    </w:p>
  </w:endnote>
  <w:endnote w:type="continuationSeparator" w:id="0">
    <w:p w:rsidR="00F055EF" w:rsidRDefault="00F055EF" w:rsidP="00AF5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9DD" w:rsidRDefault="00BD79D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1DE" w:rsidRDefault="00AF51DE" w:rsidP="00AF51DE">
    <w:pPr>
      <w:pStyle w:val="Pieddepage"/>
      <w:jc w:val="center"/>
    </w:pPr>
    <w:r>
      <w:t xml:space="preserve">Globale Communication, pour </w:t>
    </w:r>
    <w:proofErr w:type="spellStart"/>
    <w:r>
      <w:t>Uppia</w:t>
    </w:r>
    <w:proofErr w:type="spellEnd"/>
    <w:r w:rsidR="00BD79DD">
      <w:t xml:space="preserve"> – Janvier 2015</w:t>
    </w:r>
    <w:bookmarkStart w:id="0" w:name="_GoBack"/>
    <w:bookmarkEnd w:id="0"/>
  </w:p>
  <w:p w:rsidR="00AF51DE" w:rsidRDefault="00AF51D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9DD" w:rsidRDefault="00BD79D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5EF" w:rsidRDefault="00F055EF" w:rsidP="00AF51DE">
      <w:pPr>
        <w:spacing w:after="0" w:line="240" w:lineRule="auto"/>
      </w:pPr>
      <w:r>
        <w:separator/>
      </w:r>
    </w:p>
  </w:footnote>
  <w:footnote w:type="continuationSeparator" w:id="0">
    <w:p w:rsidR="00F055EF" w:rsidRDefault="00F055EF" w:rsidP="00AF5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9DD" w:rsidRDefault="00BD79D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9DD" w:rsidRDefault="00BD79D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9DD" w:rsidRDefault="00BD79D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30B75"/>
    <w:multiLevelType w:val="multilevel"/>
    <w:tmpl w:val="A8D8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3C24"/>
    <w:rsid w:val="00107A05"/>
    <w:rsid w:val="001708E6"/>
    <w:rsid w:val="002E0F20"/>
    <w:rsid w:val="003F6AE6"/>
    <w:rsid w:val="00433102"/>
    <w:rsid w:val="006B007F"/>
    <w:rsid w:val="007E048A"/>
    <w:rsid w:val="00AE0F79"/>
    <w:rsid w:val="00AF51DE"/>
    <w:rsid w:val="00BC2716"/>
    <w:rsid w:val="00BD79DD"/>
    <w:rsid w:val="00C012D5"/>
    <w:rsid w:val="00C651B2"/>
    <w:rsid w:val="00D57332"/>
    <w:rsid w:val="00D75A47"/>
    <w:rsid w:val="00E31CB3"/>
    <w:rsid w:val="00E93C24"/>
    <w:rsid w:val="00F055EF"/>
    <w:rsid w:val="00F6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C82"/>
  </w:style>
  <w:style w:type="paragraph" w:styleId="Titre2">
    <w:name w:val="heading 2"/>
    <w:basedOn w:val="Normal"/>
    <w:link w:val="Titre2Car"/>
    <w:uiPriority w:val="9"/>
    <w:qFormat/>
    <w:rsid w:val="00E93C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7C82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E93C2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93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3C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F5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51DE"/>
  </w:style>
  <w:style w:type="paragraph" w:styleId="Pieddepage">
    <w:name w:val="footer"/>
    <w:basedOn w:val="Normal"/>
    <w:link w:val="PieddepageCar"/>
    <w:uiPriority w:val="99"/>
    <w:unhideWhenUsed/>
    <w:rsid w:val="00AF5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51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4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390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Serge Raynaud</cp:lastModifiedBy>
  <cp:revision>7</cp:revision>
  <dcterms:created xsi:type="dcterms:W3CDTF">2014-12-19T12:53:00Z</dcterms:created>
  <dcterms:modified xsi:type="dcterms:W3CDTF">2015-01-09T16:51:00Z</dcterms:modified>
</cp:coreProperties>
</file>